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" w:lineRule="auto"/>
        <w:jc w:val="right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Додаток № 1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" w:lineRule="auto"/>
        <w:jc w:val="right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до тендерного оголошення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" w:lineRule="auto"/>
        <w:jc w:val="right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БО МБФ «Центр соціальних проектів майбутнього»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" w:lineRule="auto"/>
        <w:jc w:val="right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від </w:t>
      </w:r>
      <w:r w:rsidDel="00000000" w:rsidR="00000000" w:rsidRPr="00000000">
        <w:rPr>
          <w:sz w:val="22"/>
          <w:szCs w:val="22"/>
          <w:rtl w:val="0"/>
        </w:rPr>
        <w:t xml:space="preserve">10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.12.2025 р.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" w:lineRule="auto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" w:lineRule="auto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Специфікація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" w:lineRule="auto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медичного обладнання</w:t>
      </w:r>
    </w:p>
    <w:p w:rsidR="00000000" w:rsidDel="00000000" w:rsidP="00000000" w:rsidRDefault="00000000" w:rsidRPr="00000000" w14:paraId="00000009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Загальні вимоги:</w:t>
      </w:r>
    </w:p>
    <w:p w:rsidR="00000000" w:rsidDel="00000000" w:rsidP="00000000" w:rsidRDefault="00000000" w:rsidRPr="00000000" w14:paraId="0000000B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1677"/>
        <w:gridCol w:w="2262"/>
        <w:gridCol w:w="4575"/>
        <w:gridCol w:w="1668"/>
        <w:tblGridChange w:id="0">
          <w:tblGrid>
            <w:gridCol w:w="445"/>
            <w:gridCol w:w="1677"/>
            <w:gridCol w:w="2262"/>
            <w:gridCol w:w="4575"/>
            <w:gridCol w:w="16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Предмет закупівлі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Кількість, шт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Характеристики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Запитувана модель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Пристрій для реабілітації верхніх та нижніх кінцівок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-Режими роботи: пасивний, асистований (активно-пасивний), активний.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-Можливість використання пацієнтами, які сидять на стільці або перебувають в інвалідному візку.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-Наявність антиспастичного та релаксаційного контролю для безпечної терапії.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-Регулювання педалей (без інструментів або еквівалентним способом).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-Механізм безпечного регулювання висоти / посадки для адаптації до різних пацієнтів.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-Відображення основних результатів терапії: активність правої та лівої кінцівок, симетричність рухів, частка власної м’язової сили, пройдена відстань, спожиті калорії, м’язовий тонус, загальний прогрес.</w:t>
            </w:r>
          </w:p>
          <w:p w:rsidR="00000000" w:rsidDel="00000000" w:rsidP="00000000" w:rsidRDefault="00000000" w:rsidRPr="00000000" w14:paraId="0000001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-Програмовані та запрограмовані режими тренувань, можливість збереження параметрів, статистика попередніх сеансів, довгостроковий аналіз прогресу.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-Просте та зрозуміле керування, зручний інтерфейс користувача.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-Показання до застосування: стани зі зниженою рухливістю верхніх/нижніх кінцівок, включно з нейром’язовими та неврологічними патологіями, після паралічів, розсіяного склерозу, ревматичних патологій, станів тривалої іммобілізації або нестачі руху.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KINETEC KINEVIA DUO, Kinetec,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або аналог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Апарат для пасивної розробки променево-зап’ясткового суглоба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-Робота в режимі безперервного пасивного руху (CPM).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-Амплітуда руху (не гірше ніж):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згинання – розгинання: 80° – 0 – 80°;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відхилення радіальне / ульнарне: 20° – 0 – 30°.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-Регулювання швидкості: у межах 2°/с – 4.5°/s.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-Регулювання діапазону руху електромеханічними обмежувачами.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-Можливість проведення терапії пацієнтам у положенні сидячи або лежачи.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-Наявність дротового пульта пацієнта для самостійного запуску/зупинки процедури.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-Регулювання висоти робочого модуля для адаптації під різні положення руки.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-Мобільна підставка з колесами та системою блокування.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-Плавна та безболісна мобілізація суглоба, відсутність ривків.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-Показання до застосування: патології зап’ястка після травм та операцій, адгезивний капсуліт, тендопатії, артрит, обмеження амплітуди рухів тощо.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Fisiotek LT-</w:t>
            </w:r>
          </w:p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 (FLT/P-5R), Rimec, або аналог</w:t>
            </w:r>
          </w:p>
        </w:tc>
      </w:tr>
    </w:tbl>
    <w:p w:rsidR="00000000" w:rsidDel="00000000" w:rsidP="00000000" w:rsidRDefault="00000000" w:rsidRPr="00000000" w14:paraId="00000030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-</w:t>
      </w:r>
      <w:r w:rsidDel="00000000" w:rsidR="00000000" w:rsidRPr="00000000">
        <w:rPr>
          <w:sz w:val="14"/>
          <w:szCs w:val="14"/>
          <w:rtl w:val="0"/>
        </w:rPr>
        <w:t xml:space="preserve">          </w:t>
      </w:r>
      <w:r w:rsidDel="00000000" w:rsidR="00000000" w:rsidRPr="00000000">
        <w:rPr>
          <w:sz w:val="24"/>
          <w:szCs w:val="24"/>
          <w:rtl w:val="0"/>
        </w:rPr>
        <w:t xml:space="preserve">товар, запропонований Учасником, повинен бути новим і таким, що не був у використанні та гарантійний термін (строк) експлуатації повинен становити не менше 12 місяців;</w:t>
      </w:r>
    </w:p>
    <w:p w:rsidR="00000000" w:rsidDel="00000000" w:rsidP="00000000" w:rsidRDefault="00000000" w:rsidRPr="00000000" w14:paraId="00000032">
      <w:pPr>
        <w:spacing w:after="240" w:before="240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sz w:val="14"/>
          <w:szCs w:val="14"/>
          <w:rtl w:val="0"/>
        </w:rPr>
        <w:t xml:space="preserve">          </w:t>
      </w:r>
      <w:r w:rsidDel="00000000" w:rsidR="00000000" w:rsidRPr="00000000">
        <w:rPr>
          <w:sz w:val="24"/>
          <w:szCs w:val="24"/>
          <w:rtl w:val="0"/>
        </w:rPr>
        <w:t xml:space="preserve">товар, запропонований Учасником, повинен відповідати національним стандартам, медико – технічним вимогам до предмету закупівлі, встановленим у даному додатку та всіх інших вимогах тендерної документації;</w:t>
      </w:r>
    </w:p>
    <w:p w:rsidR="00000000" w:rsidDel="00000000" w:rsidP="00000000" w:rsidRDefault="00000000" w:rsidRPr="00000000" w14:paraId="00000033">
      <w:pPr>
        <w:spacing w:after="240" w:before="240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sz w:val="14"/>
          <w:szCs w:val="14"/>
          <w:rtl w:val="0"/>
        </w:rPr>
        <w:t xml:space="preserve">          </w:t>
      </w:r>
      <w:r w:rsidDel="00000000" w:rsidR="00000000" w:rsidRPr="00000000">
        <w:rPr>
          <w:sz w:val="24"/>
          <w:szCs w:val="24"/>
          <w:rtl w:val="0"/>
        </w:rPr>
        <w:t xml:space="preserve">переможець відкритого тендеру має бути готовим до укладання договору з Замовником протягом 2 днів з дати прийняття рішення про намір укласти договір;</w:t>
      </w:r>
    </w:p>
    <w:p w:rsidR="00000000" w:rsidDel="00000000" w:rsidP="00000000" w:rsidRDefault="00000000" w:rsidRPr="00000000" w14:paraId="00000034">
      <w:pPr>
        <w:spacing w:after="240" w:before="240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sz w:val="14"/>
          <w:szCs w:val="14"/>
          <w:rtl w:val="0"/>
        </w:rPr>
        <w:t xml:space="preserve">          </w:t>
      </w:r>
      <w:r w:rsidDel="00000000" w:rsidR="00000000" w:rsidRPr="00000000">
        <w:rPr>
          <w:sz w:val="24"/>
          <w:szCs w:val="24"/>
          <w:rtl w:val="0"/>
        </w:rPr>
        <w:t xml:space="preserve">терміни виконання умов договору не повинні перевищувати 60 днів з дати підписання договору;</w:t>
      </w:r>
    </w:p>
    <w:p w:rsidR="00000000" w:rsidDel="00000000" w:rsidP="00000000" w:rsidRDefault="00000000" w:rsidRPr="00000000" w14:paraId="00000035">
      <w:pPr>
        <w:spacing w:after="240" w:before="240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sz w:val="14"/>
          <w:szCs w:val="14"/>
          <w:rtl w:val="0"/>
        </w:rPr>
        <w:t xml:space="preserve">          </w:t>
      </w:r>
      <w:r w:rsidDel="00000000" w:rsidR="00000000" w:rsidRPr="00000000">
        <w:rPr>
          <w:sz w:val="24"/>
          <w:szCs w:val="24"/>
          <w:rtl w:val="0"/>
        </w:rPr>
        <w:t xml:space="preserve">у вартість обладнання включається ціна за його доставку (адресна доставка по Україні);</w:t>
      </w:r>
    </w:p>
    <w:p w:rsidR="00000000" w:rsidDel="00000000" w:rsidP="00000000" w:rsidRDefault="00000000" w:rsidRPr="00000000" w14:paraId="00000036">
      <w:pPr>
        <w:spacing w:after="240" w:before="240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sz w:val="14"/>
          <w:szCs w:val="14"/>
          <w:rtl w:val="0"/>
        </w:rPr>
        <w:t xml:space="preserve">          </w:t>
      </w:r>
      <w:r w:rsidDel="00000000" w:rsidR="00000000" w:rsidRPr="00000000">
        <w:rPr>
          <w:sz w:val="24"/>
          <w:szCs w:val="24"/>
          <w:rtl w:val="0"/>
        </w:rPr>
        <w:t xml:space="preserve">оплата за товар здійснюється Замовником у національній грошовій одиниці України шляхом перерахування коштів на розрахунковий рахунок Учасника;</w:t>
      </w:r>
    </w:p>
    <w:p w:rsidR="00000000" w:rsidDel="00000000" w:rsidP="00000000" w:rsidRDefault="00000000" w:rsidRPr="00000000" w14:paraId="00000037">
      <w:pPr>
        <w:spacing w:after="240" w:before="240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4"/>
          <w:szCs w:val="24"/>
          <w:rtl w:val="0"/>
        </w:rPr>
        <w:t xml:space="preserve">сервісне обслуговування товару, запропонованого Учасником повинно здійснюватися кваліфікованими працівниками, які мають відповідні знання та навички;</w:t>
      </w:r>
    </w:p>
    <w:p w:rsidR="00000000" w:rsidDel="00000000" w:rsidP="00000000" w:rsidRDefault="00000000" w:rsidRPr="00000000" w14:paraId="00000038">
      <w:pPr>
        <w:spacing w:after="240" w:before="240" w:lineRule="auto"/>
        <w:ind w:left="630" w:firstLine="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у разі, якщо Учасник пропонує </w:t>
      </w:r>
      <w:r w:rsidDel="00000000" w:rsidR="00000000" w:rsidRPr="00000000">
        <w:rPr>
          <w:sz w:val="24"/>
          <w:szCs w:val="24"/>
          <w:rtl w:val="0"/>
        </w:rPr>
        <w:t xml:space="preserve">аналог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його характеристики повинні бути не гірше, ніж вимагає Замовник. Якщо хоча б одна вимога тендерної пропозиції, яка запропонована Учасником, не відповідає медико-технічним вимогам документації конкурсних торгів, Замовник торгів відхиляє дану пропозицію, як таку, що не відповідає умовам тендерної документації.</w:t>
      </w:r>
    </w:p>
    <w:p w:rsidR="00000000" w:rsidDel="00000000" w:rsidP="00000000" w:rsidRDefault="00000000" w:rsidRPr="00000000" w14:paraId="00000039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709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uk"/>
      </w:rPr>
    </w:rPrDefault>
    <w:pPrDefault>
      <w:pPr>
        <w:spacing w:after="1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05DD7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05DD7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05DD7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05DD7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E05DD7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05DD7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05DD7"/>
    <w:rPr>
      <w:rFonts w:cstheme="majorBidi" w:eastAsiaTheme="majorEastAsia"/>
      <w:i w:val="1"/>
      <w:iCs w:val="1"/>
      <w:color w:val="2e74b5" w:themeColor="accent1" w:themeShade="0000BF"/>
      <w:sz w:val="28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05DD7"/>
    <w:rPr>
      <w:rFonts w:cstheme="majorBidi" w:eastAsiaTheme="majorEastAsia"/>
      <w:color w:val="2e74b5" w:themeColor="accent1" w:themeShade="0000BF"/>
      <w:sz w:val="28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05DD7"/>
    <w:rPr>
      <w:rFonts w:cstheme="majorBidi" w:eastAsiaTheme="majorEastAsia"/>
      <w:i w:val="1"/>
      <w:iCs w:val="1"/>
      <w:color w:val="595959" w:themeColor="text1" w:themeTint="0000A6"/>
      <w:sz w:val="28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05DD7"/>
    <w:rPr>
      <w:rFonts w:cstheme="majorBidi" w:eastAsiaTheme="majorEastAsia"/>
      <w:color w:val="595959" w:themeColor="text1" w:themeTint="0000A6"/>
      <w:sz w:val="28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05DD7"/>
    <w:rPr>
      <w:rFonts w:cstheme="majorBidi" w:eastAsiaTheme="majorEastAsia"/>
      <w:i w:val="1"/>
      <w:iCs w:val="1"/>
      <w:color w:val="272727" w:themeColor="text1" w:themeTint="0000D8"/>
      <w:sz w:val="2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05DD7"/>
    <w:rPr>
      <w:rFonts w:cstheme="majorBidi" w:eastAsiaTheme="majorEastAsia"/>
      <w:color w:val="272727" w:themeColor="text1" w:themeTint="0000D8"/>
      <w:sz w:val="28"/>
    </w:rPr>
  </w:style>
  <w:style w:type="character" w:styleId="a4" w:customStyle="1">
    <w:name w:val="Назва Знак"/>
    <w:basedOn w:val="a0"/>
    <w:link w:val="a3"/>
    <w:uiPriority w:val="10"/>
    <w:rsid w:val="00E05DD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E05DD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E05DD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E05DD7"/>
    <w:rPr>
      <w:rFonts w:ascii="Times New Roman" w:hAnsi="Times New Roman"/>
      <w:i w:val="1"/>
      <w:iCs w:val="1"/>
      <w:color w:val="404040" w:themeColor="text1" w:themeTint="0000BF"/>
      <w:sz w:val="28"/>
    </w:rPr>
  </w:style>
  <w:style w:type="paragraph" w:styleId="a9">
    <w:name w:val="List Paragraph"/>
    <w:basedOn w:val="a"/>
    <w:uiPriority w:val="34"/>
    <w:qFormat w:val="1"/>
    <w:rsid w:val="00E05DD7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E05DD7"/>
    <w:rPr>
      <w:i w:val="1"/>
      <w:iCs w:val="1"/>
      <w:color w:val="2e74b5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E05DD7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E05DD7"/>
    <w:rPr>
      <w:rFonts w:ascii="Times New Roman" w:hAnsi="Times New Roman"/>
      <w:i w:val="1"/>
      <w:iCs w:val="1"/>
      <w:color w:val="2e74b5" w:themeColor="accent1" w:themeShade="0000BF"/>
      <w:sz w:val="28"/>
    </w:rPr>
  </w:style>
  <w:style w:type="character" w:styleId="ad">
    <w:name w:val="Intense Reference"/>
    <w:basedOn w:val="a0"/>
    <w:uiPriority w:val="32"/>
    <w:qFormat w:val="1"/>
    <w:rsid w:val="00E05DD7"/>
    <w:rPr>
      <w:b w:val="1"/>
      <w:bCs w:val="1"/>
      <w:smallCaps w:val="1"/>
      <w:color w:val="2e74b5" w:themeColor="accent1" w:themeShade="0000BF"/>
      <w:spacing w:val="5"/>
    </w:rPr>
  </w:style>
  <w:style w:type="table" w:styleId="ae">
    <w:name w:val="Table Grid"/>
    <w:basedOn w:val="a1"/>
    <w:uiPriority w:val="39"/>
    <w:rsid w:val="00E05DD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color w:val="595959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xeh3JZ3MMnGWkpbEreopkD9DUA==">CgMxLjA4AHIhMU9qUWRxXzlTem1KdGtERHhVWGo3b1BfaUo3NjRkdXRM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2025-12-03T08:31:00Z</dcterms:created>
  <dc:creator>Vlada Andrushchenko</dc:creator>
</cp:coreProperties>
</file>